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922A" w14:textId="18EEA880" w:rsidR="002D7159" w:rsidRDefault="002D7159" w:rsidP="002D7159">
      <w:pPr>
        <w:jc w:val="center"/>
      </w:pPr>
    </w:p>
    <w:p w14:paraId="01ECE93D" w14:textId="4A37B263" w:rsidR="002D7159" w:rsidRDefault="003D2484" w:rsidP="003D2484">
      <w:pPr>
        <w:tabs>
          <w:tab w:val="center" w:pos="5233"/>
          <w:tab w:val="left" w:pos="9338"/>
        </w:tabs>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sz w:val="40"/>
          <w:szCs w:val="40"/>
        </w:rPr>
        <w:tab/>
      </w:r>
    </w:p>
    <w:p w14:paraId="2F9939B0" w14:textId="6B1BC0BF" w:rsidR="003D2484" w:rsidRDefault="003D2484" w:rsidP="002D7159">
      <w:pPr>
        <w:tabs>
          <w:tab w:val="left" w:pos="5006"/>
        </w:tabs>
        <w:jc w:val="center"/>
        <w:rPr>
          <w:rFonts w:ascii="Times New Roman" w:hAnsi="Times New Roman" w:cs="Times New Roman"/>
          <w:b/>
          <w:bCs/>
          <w:sz w:val="20"/>
          <w:szCs w:val="20"/>
        </w:rPr>
      </w:pPr>
      <w:r>
        <w:rPr>
          <w:rFonts w:ascii="Times New Roman" w:hAnsi="Times New Roman" w:cs="Times New Roman"/>
          <w:b/>
          <w:bCs/>
          <w:noProof/>
          <w:sz w:val="40"/>
          <w:szCs w:val="40"/>
        </w:rPr>
        <mc:AlternateContent>
          <mc:Choice Requires="wps">
            <w:drawing>
              <wp:anchor distT="0" distB="0" distL="114300" distR="114300" simplePos="0" relativeHeight="251660288" behindDoc="0" locked="0" layoutInCell="1" allowOverlap="1" wp14:anchorId="6AED91F7" wp14:editId="0F69D92E">
                <wp:simplePos x="0" y="0"/>
                <wp:positionH relativeFrom="column">
                  <wp:posOffset>-1031875</wp:posOffset>
                </wp:positionH>
                <wp:positionV relativeFrom="paragraph">
                  <wp:posOffset>149168</wp:posOffset>
                </wp:positionV>
                <wp:extent cx="834736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3473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2DDD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1.75pt" to="8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" strokecolor="black [3213]" strokeweight=".5pt">
                <v:stroke joinstyle="miter"/>
              </v:line>
            </w:pict>
          </mc:Fallback>
        </mc:AlternateContent>
      </w:r>
    </w:p>
    <w:p w14:paraId="01809E0A" w14:textId="091194A6" w:rsidR="002D7159" w:rsidRPr="00A81BB1" w:rsidRDefault="002D7159" w:rsidP="002D7159">
      <w:pPr>
        <w:tabs>
          <w:tab w:val="left" w:pos="5006"/>
        </w:tabs>
        <w:jc w:val="center"/>
        <w:rPr>
          <w:rFonts w:ascii="Times New Roman" w:hAnsi="Times New Roman" w:cs="Times New Roman"/>
          <w:b/>
          <w:bCs/>
          <w:sz w:val="20"/>
          <w:szCs w:val="20"/>
        </w:rPr>
      </w:pPr>
      <w:r w:rsidRPr="00A81BB1">
        <w:rPr>
          <w:rFonts w:ascii="Times New Roman" w:hAnsi="Times New Roman" w:cs="Times New Roman"/>
          <w:b/>
          <w:bCs/>
          <w:sz w:val="20"/>
          <w:szCs w:val="20"/>
        </w:rPr>
        <w:t>This facility only applies if you have indicated ‘yes’ to the insurance option detailed in the License Agreement and have paid the appropriate additional charge. Please carefully read clause 41 of the Licence Agreement.</w:t>
      </w:r>
    </w:p>
    <w:p w14:paraId="1B77042E" w14:textId="6A0987F7" w:rsidR="002D7159" w:rsidRPr="00A81BB1" w:rsidRDefault="003D2484" w:rsidP="002D7159">
      <w:pPr>
        <w:tabs>
          <w:tab w:val="left" w:pos="5006"/>
        </w:tabs>
        <w:jc w:val="center"/>
        <w:rPr>
          <w:rFonts w:ascii="Times New Roman" w:hAnsi="Times New Roman" w:cs="Times New Roman"/>
          <w:b/>
          <w:bCs/>
        </w:rPr>
      </w:pPr>
      <w:r w:rsidRPr="00A81BB1">
        <w:rPr>
          <w:rFonts w:ascii="Times New Roman" w:hAnsi="Times New Roman" w:cs="Times New Roman"/>
          <w:b/>
          <w:bCs/>
          <w:noProof/>
          <w:sz w:val="36"/>
          <w:szCs w:val="36"/>
        </w:rPr>
        <mc:AlternateContent>
          <mc:Choice Requires="wps">
            <w:drawing>
              <wp:anchor distT="0" distB="0" distL="114300" distR="114300" simplePos="0" relativeHeight="251662336" behindDoc="0" locked="0" layoutInCell="1" allowOverlap="1" wp14:anchorId="2EA6D2CF" wp14:editId="709D0290">
                <wp:simplePos x="0" y="0"/>
                <wp:positionH relativeFrom="column">
                  <wp:posOffset>-666115</wp:posOffset>
                </wp:positionH>
                <wp:positionV relativeFrom="paragraph">
                  <wp:posOffset>130175</wp:posOffset>
                </wp:positionV>
                <wp:extent cx="77774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777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CEED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5pt,10.25pt" to="55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" strokecolor="black [3213]" strokeweight=".5pt">
                <v:stroke joinstyle="miter"/>
              </v:line>
            </w:pict>
          </mc:Fallback>
        </mc:AlternateContent>
      </w:r>
    </w:p>
    <w:p w14:paraId="1249D188" w14:textId="6C32A780" w:rsidR="002D7159" w:rsidRPr="00A81BB1" w:rsidRDefault="002D7159" w:rsidP="002D7159">
      <w:pPr>
        <w:tabs>
          <w:tab w:val="left" w:pos="5006"/>
        </w:tabs>
        <w:jc w:val="center"/>
        <w:rPr>
          <w:rFonts w:ascii="Times New Roman" w:hAnsi="Times New Roman" w:cs="Times New Roman"/>
          <w:sz w:val="20"/>
          <w:szCs w:val="20"/>
        </w:rPr>
      </w:pPr>
      <w:r w:rsidRPr="00A81BB1">
        <w:rPr>
          <w:rFonts w:ascii="Times New Roman" w:hAnsi="Times New Roman" w:cs="Times New Roman"/>
          <w:sz w:val="20"/>
          <w:szCs w:val="20"/>
        </w:rPr>
        <w:t xml:space="preserve">It is a condition of the License Agreement that your property </w:t>
      </w:r>
      <w:r w:rsidR="00ED735B" w:rsidRPr="00A81BB1">
        <w:rPr>
          <w:rFonts w:ascii="Times New Roman" w:hAnsi="Times New Roman" w:cs="Times New Roman"/>
          <w:sz w:val="20"/>
          <w:szCs w:val="20"/>
        </w:rPr>
        <w:t>is insured for its full true total and that cover is maintained throughout the total period of storage with us.</w:t>
      </w:r>
    </w:p>
    <w:p w14:paraId="37C0F2A8" w14:textId="13456235" w:rsidR="00ED735B" w:rsidRPr="00A81BB1" w:rsidRDefault="00ED735B" w:rsidP="002D7159">
      <w:pPr>
        <w:tabs>
          <w:tab w:val="left" w:pos="5006"/>
        </w:tabs>
        <w:jc w:val="center"/>
        <w:rPr>
          <w:rFonts w:ascii="Times New Roman" w:hAnsi="Times New Roman" w:cs="Times New Roman"/>
          <w:sz w:val="20"/>
          <w:szCs w:val="20"/>
        </w:rPr>
      </w:pPr>
      <w:r w:rsidRPr="00A81BB1">
        <w:rPr>
          <w:rFonts w:ascii="Times New Roman" w:hAnsi="Times New Roman" w:cs="Times New Roman"/>
          <w:sz w:val="20"/>
          <w:szCs w:val="20"/>
        </w:rPr>
        <w:t xml:space="preserve">Please note that irrespective of whether or not you instruct us to include you within our insurance arrangements our liability for actual </w:t>
      </w:r>
      <w:r w:rsidR="00281CB9" w:rsidRPr="00A81BB1">
        <w:rPr>
          <w:rFonts w:ascii="Times New Roman" w:hAnsi="Times New Roman" w:cs="Times New Roman"/>
          <w:sz w:val="20"/>
          <w:szCs w:val="20"/>
        </w:rPr>
        <w:t>physical loss of or damage to your property as limited by the terms of the License Agreement which forms part of our contract with you.</w:t>
      </w:r>
    </w:p>
    <w:p w14:paraId="65174389" w14:textId="5F98D4FC" w:rsidR="00281CB9" w:rsidRPr="00A81BB1" w:rsidRDefault="00281CB9" w:rsidP="002D7159">
      <w:pPr>
        <w:tabs>
          <w:tab w:val="left" w:pos="5006"/>
        </w:tabs>
        <w:jc w:val="center"/>
        <w:rPr>
          <w:rFonts w:ascii="Times New Roman" w:hAnsi="Times New Roman" w:cs="Times New Roman"/>
          <w:sz w:val="20"/>
          <w:szCs w:val="20"/>
        </w:rPr>
      </w:pPr>
      <w:r w:rsidRPr="00A81BB1">
        <w:rPr>
          <w:rFonts w:ascii="Times New Roman" w:hAnsi="Times New Roman" w:cs="Times New Roman"/>
          <w:sz w:val="20"/>
          <w:szCs w:val="20"/>
        </w:rPr>
        <w:t>Subject to you giving us instructions to insure, we can arrange on your behalf Underwritten 100% by certain Underwriters at Lloyd’s to cover physical loss or damage to your property within our insurance arrangements as summarized below. You may inspect the policy in our office on request.</w:t>
      </w:r>
    </w:p>
    <w:p w14:paraId="10D55E4C" w14:textId="76F7FA76" w:rsidR="00281CB9" w:rsidRPr="00A81BB1" w:rsidRDefault="003D2484" w:rsidP="003D2484">
      <w:pPr>
        <w:tabs>
          <w:tab w:val="left" w:pos="5006"/>
        </w:tabs>
        <w:jc w:val="center"/>
        <w:rPr>
          <w:rFonts w:ascii="Times New Roman" w:hAnsi="Times New Roman" w:cs="Times New Roman"/>
          <w:b/>
          <w:bCs/>
          <w:i/>
          <w:iCs/>
        </w:rPr>
      </w:pPr>
      <w:r w:rsidRPr="00A81BB1">
        <w:rPr>
          <w:rFonts w:ascii="Times New Roman" w:hAnsi="Times New Roman" w:cs="Times New Roman"/>
          <w:b/>
          <w:bCs/>
          <w:noProof/>
          <w:sz w:val="36"/>
          <w:szCs w:val="36"/>
        </w:rPr>
        <mc:AlternateContent>
          <mc:Choice Requires="wps">
            <w:drawing>
              <wp:anchor distT="0" distB="0" distL="114300" distR="114300" simplePos="0" relativeHeight="251664384" behindDoc="0" locked="0" layoutInCell="1" allowOverlap="1" wp14:anchorId="6D67679B" wp14:editId="04F0273D">
                <wp:simplePos x="0" y="0"/>
                <wp:positionH relativeFrom="column">
                  <wp:posOffset>-588645</wp:posOffset>
                </wp:positionH>
                <wp:positionV relativeFrom="paragraph">
                  <wp:posOffset>120015</wp:posOffset>
                </wp:positionV>
                <wp:extent cx="77774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77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B5886"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9.45pt" to="56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" strokecolor="black [3213]" strokeweight=".5pt">
                <v:stroke joinstyle="miter"/>
              </v:line>
            </w:pict>
          </mc:Fallback>
        </mc:AlternateContent>
      </w:r>
    </w:p>
    <w:p w14:paraId="662466CB" w14:textId="7F99BE8B" w:rsidR="00281CB9" w:rsidRPr="00A81BB1" w:rsidRDefault="00281CB9" w:rsidP="003D2484">
      <w:pPr>
        <w:tabs>
          <w:tab w:val="left" w:pos="5006"/>
        </w:tabs>
        <w:jc w:val="center"/>
        <w:rPr>
          <w:rFonts w:ascii="Times New Roman" w:hAnsi="Times New Roman" w:cs="Times New Roman"/>
          <w:sz w:val="20"/>
          <w:szCs w:val="20"/>
        </w:rPr>
      </w:pPr>
      <w:r w:rsidRPr="00A81BB1">
        <w:rPr>
          <w:rFonts w:ascii="Times New Roman" w:hAnsi="Times New Roman" w:cs="Times New Roman"/>
          <w:b/>
          <w:bCs/>
          <w:sz w:val="20"/>
          <w:szCs w:val="20"/>
        </w:rPr>
        <w:t xml:space="preserve">INSURER: </w:t>
      </w:r>
      <w:r w:rsidRPr="00A81BB1">
        <w:rPr>
          <w:rFonts w:ascii="Times New Roman" w:hAnsi="Times New Roman" w:cs="Times New Roman"/>
          <w:sz w:val="20"/>
          <w:szCs w:val="20"/>
        </w:rPr>
        <w:t>Certain Underwriters at Lloyd’s.</w:t>
      </w:r>
    </w:p>
    <w:p w14:paraId="299F8B2C" w14:textId="67FDAC23" w:rsidR="00281CB9" w:rsidRPr="00A81BB1" w:rsidRDefault="00281CB9" w:rsidP="003D2484">
      <w:pPr>
        <w:tabs>
          <w:tab w:val="left" w:pos="5006"/>
        </w:tabs>
        <w:jc w:val="center"/>
        <w:rPr>
          <w:rFonts w:ascii="Times New Roman" w:hAnsi="Times New Roman" w:cs="Times New Roman"/>
          <w:sz w:val="20"/>
          <w:szCs w:val="20"/>
        </w:rPr>
      </w:pPr>
      <w:r w:rsidRPr="00A81BB1">
        <w:rPr>
          <w:rFonts w:ascii="Times New Roman" w:hAnsi="Times New Roman" w:cs="Times New Roman"/>
          <w:b/>
          <w:bCs/>
          <w:sz w:val="20"/>
          <w:szCs w:val="20"/>
        </w:rPr>
        <w:t xml:space="preserve">TOTAL SUM INSURED: </w:t>
      </w:r>
      <w:r w:rsidRPr="00A81BB1">
        <w:rPr>
          <w:rFonts w:ascii="Times New Roman" w:hAnsi="Times New Roman" w:cs="Times New Roman"/>
          <w:sz w:val="20"/>
          <w:szCs w:val="20"/>
        </w:rPr>
        <w:t>The full true total maximum value of the goods at all times as declared to us on the License Agreement or elsewhere in writing. The sum insured shall in no circumstances exceed £25,000 for any one customer unless confirmed in writing by us. The total sum insured can be increased on payment of an additional charge, subject to the prior agreement of our insurers.</w:t>
      </w:r>
    </w:p>
    <w:p w14:paraId="3483A57C" w14:textId="2EDFD276" w:rsidR="00281CB9" w:rsidRPr="00A81BB1" w:rsidRDefault="00281CB9" w:rsidP="003D2484">
      <w:pPr>
        <w:tabs>
          <w:tab w:val="left" w:pos="5006"/>
        </w:tabs>
        <w:jc w:val="center"/>
        <w:rPr>
          <w:rFonts w:ascii="Times New Roman" w:hAnsi="Times New Roman" w:cs="Times New Roman"/>
          <w:sz w:val="20"/>
          <w:szCs w:val="20"/>
        </w:rPr>
      </w:pPr>
      <w:r w:rsidRPr="00A81BB1">
        <w:rPr>
          <w:rFonts w:ascii="Times New Roman" w:hAnsi="Times New Roman" w:cs="Times New Roman"/>
          <w:b/>
          <w:bCs/>
          <w:sz w:val="20"/>
          <w:szCs w:val="20"/>
        </w:rPr>
        <w:t xml:space="preserve">INSURED PERILS: </w:t>
      </w:r>
      <w:r w:rsidRPr="00A81BB1">
        <w:rPr>
          <w:rFonts w:ascii="Times New Roman" w:hAnsi="Times New Roman" w:cs="Times New Roman"/>
          <w:sz w:val="20"/>
          <w:szCs w:val="20"/>
        </w:rPr>
        <w:t xml:space="preserve">Actual physical loss of or damage to customers’ property caused by fire, lightning, explosion, earthquake, storm, flood, bursting and/or leaking pipes, ingress of water or other liquid substance, aircraft or articles dropped therefrom, </w:t>
      </w:r>
      <w:r w:rsidR="00A81BB1" w:rsidRPr="00A81BB1">
        <w:rPr>
          <w:rFonts w:ascii="Times New Roman" w:hAnsi="Times New Roman" w:cs="Times New Roman"/>
          <w:sz w:val="20"/>
          <w:szCs w:val="20"/>
        </w:rPr>
        <w:t>moth, insect, or vermin from an external cause, theft accompanied by forcible and violent entry to or exit from the building or unit, riot, strike, civil commotion, malicious damage, and impact by vehicle or railway rolling stock.</w:t>
      </w:r>
    </w:p>
    <w:p w14:paraId="10CAAE97" w14:textId="5A0B33BD" w:rsidR="00A81BB1" w:rsidRPr="00A81BB1" w:rsidRDefault="00A81BB1" w:rsidP="003D2484">
      <w:pPr>
        <w:tabs>
          <w:tab w:val="left" w:pos="5006"/>
        </w:tabs>
        <w:jc w:val="center"/>
        <w:rPr>
          <w:rFonts w:ascii="Times New Roman" w:hAnsi="Times New Roman" w:cs="Times New Roman"/>
          <w:sz w:val="20"/>
          <w:szCs w:val="20"/>
        </w:rPr>
      </w:pPr>
      <w:r w:rsidRPr="00A81BB1">
        <w:rPr>
          <w:rFonts w:ascii="Times New Roman" w:hAnsi="Times New Roman" w:cs="Times New Roman"/>
          <w:b/>
          <w:bCs/>
          <w:sz w:val="20"/>
          <w:szCs w:val="20"/>
        </w:rPr>
        <w:t>UNDER-INSURANCE:</w:t>
      </w:r>
      <w:r w:rsidRPr="00A81BB1">
        <w:rPr>
          <w:rFonts w:ascii="Times New Roman" w:hAnsi="Times New Roman" w:cs="Times New Roman"/>
          <w:sz w:val="20"/>
          <w:szCs w:val="20"/>
        </w:rPr>
        <w:t xml:space="preserve"> It is a condition of the insurance that the sum insured represents the full true total value of the property stored at all times. If you fail to declare the full replacement value of your property on the Licence Agreement, in the event of a claim we will only be entitled to recover on your behalf from our insurers the proportion of the loss as the declared value bears to the total replacement value of your property.</w:t>
      </w:r>
    </w:p>
    <w:p w14:paraId="46159795" w14:textId="231E5185" w:rsidR="00A81BB1" w:rsidRPr="00A81BB1" w:rsidRDefault="00A81BB1" w:rsidP="003D2484">
      <w:pPr>
        <w:tabs>
          <w:tab w:val="left" w:pos="5006"/>
        </w:tabs>
        <w:jc w:val="center"/>
        <w:rPr>
          <w:rFonts w:ascii="Times New Roman" w:hAnsi="Times New Roman" w:cs="Times New Roman"/>
          <w:sz w:val="20"/>
          <w:szCs w:val="20"/>
        </w:rPr>
      </w:pPr>
      <w:r w:rsidRPr="00A81BB1">
        <w:rPr>
          <w:rFonts w:ascii="Times New Roman" w:hAnsi="Times New Roman" w:cs="Times New Roman"/>
          <w:b/>
          <w:bCs/>
          <w:sz w:val="20"/>
          <w:szCs w:val="20"/>
        </w:rPr>
        <w:t>BASIS OF CLAIMS SETTLEMENT:</w:t>
      </w:r>
      <w:r w:rsidRPr="00A81BB1">
        <w:rPr>
          <w:rFonts w:ascii="Times New Roman" w:hAnsi="Times New Roman" w:cs="Times New Roman"/>
          <w:sz w:val="20"/>
          <w:szCs w:val="20"/>
        </w:rPr>
        <w:t xml:space="preserve"> The settlement of any claim shall be by replacement, repair and/or compensation at Insurer’s option. In the event of the total loss or destruction of any item insured under this insurance, the basis of settlement shall be the cost of replacing the item as new provided that the item is substantially the same as but not better than the original when new.</w:t>
      </w:r>
    </w:p>
    <w:p w14:paraId="0FE2F571" w14:textId="71D0DE8D" w:rsidR="00A81BB1" w:rsidRPr="00A81BB1" w:rsidRDefault="00A81BB1" w:rsidP="003D2484">
      <w:pPr>
        <w:tabs>
          <w:tab w:val="left" w:pos="5006"/>
        </w:tabs>
        <w:jc w:val="center"/>
        <w:rPr>
          <w:rFonts w:ascii="Times New Roman" w:hAnsi="Times New Roman" w:cs="Times New Roman"/>
          <w:sz w:val="20"/>
          <w:szCs w:val="20"/>
        </w:rPr>
      </w:pPr>
      <w:r w:rsidRPr="00A81BB1">
        <w:rPr>
          <w:rFonts w:ascii="Times New Roman" w:hAnsi="Times New Roman" w:cs="Times New Roman"/>
          <w:b/>
          <w:bCs/>
          <w:sz w:val="20"/>
          <w:szCs w:val="20"/>
        </w:rPr>
        <w:t xml:space="preserve">HOUSEHOLD LINEN AND CLOTHING: </w:t>
      </w:r>
      <w:r w:rsidRPr="00A81BB1">
        <w:rPr>
          <w:rFonts w:ascii="Times New Roman" w:hAnsi="Times New Roman" w:cs="Times New Roman"/>
          <w:sz w:val="20"/>
          <w:szCs w:val="20"/>
        </w:rPr>
        <w:t>Where any claim includes loss or damage to any item(s) of household linen and clothing, Insurers will take into consideration the age, quality, degree of use and consequent market value of any such loss of or damaged item(s).</w:t>
      </w:r>
    </w:p>
    <w:p w14:paraId="20C63403" w14:textId="47CBF73B" w:rsidR="00A81BB1" w:rsidRDefault="00A81BB1" w:rsidP="003D2484">
      <w:pPr>
        <w:tabs>
          <w:tab w:val="left" w:pos="5006"/>
        </w:tabs>
        <w:jc w:val="center"/>
        <w:rPr>
          <w:rFonts w:ascii="Times New Roman" w:hAnsi="Times New Roman" w:cs="Times New Roman"/>
          <w:sz w:val="20"/>
          <w:szCs w:val="20"/>
        </w:rPr>
      </w:pPr>
      <w:r w:rsidRPr="00A81BB1">
        <w:rPr>
          <w:rFonts w:ascii="Times New Roman" w:hAnsi="Times New Roman" w:cs="Times New Roman"/>
          <w:b/>
          <w:bCs/>
          <w:sz w:val="20"/>
          <w:szCs w:val="20"/>
        </w:rPr>
        <w:t xml:space="preserve">DOCUMENTS: </w:t>
      </w:r>
      <w:r w:rsidRPr="00A81BB1">
        <w:rPr>
          <w:rFonts w:ascii="Times New Roman" w:hAnsi="Times New Roman" w:cs="Times New Roman"/>
          <w:sz w:val="20"/>
          <w:szCs w:val="20"/>
        </w:rPr>
        <w:t>Where any claim includes loss or damage to documents, the basis of settlement shall relate to the reasonable costs of reprinting and/or reasonable costs of reissue and/or reconstitution including (where applicable) fresh research or exploration to obtain essential information.</w:t>
      </w:r>
    </w:p>
    <w:p w14:paraId="05954354" w14:textId="455E7D77" w:rsidR="00A81BB1" w:rsidRDefault="00A81BB1" w:rsidP="003D2484">
      <w:pPr>
        <w:tabs>
          <w:tab w:val="left" w:pos="5006"/>
        </w:tabs>
        <w:jc w:val="center"/>
        <w:rPr>
          <w:rFonts w:ascii="Times New Roman" w:hAnsi="Times New Roman" w:cs="Times New Roman"/>
          <w:sz w:val="20"/>
          <w:szCs w:val="20"/>
        </w:rPr>
      </w:pPr>
      <w:r>
        <w:rPr>
          <w:rFonts w:ascii="Times New Roman" w:hAnsi="Times New Roman" w:cs="Times New Roman"/>
          <w:b/>
          <w:bCs/>
          <w:sz w:val="20"/>
          <w:szCs w:val="20"/>
        </w:rPr>
        <w:t xml:space="preserve">PAIRS AND SETS CLAUSE: </w:t>
      </w:r>
      <w:r>
        <w:rPr>
          <w:rFonts w:ascii="Times New Roman" w:hAnsi="Times New Roman" w:cs="Times New Roman"/>
          <w:sz w:val="20"/>
          <w:szCs w:val="20"/>
        </w:rPr>
        <w:t>Where any items are part of a pair or a set, Insurers shall only pay for the actual items which are lost or damaged. No payment will be made by Insurers for any items which are part of a pair or a set which are not lost or damaged.</w:t>
      </w:r>
    </w:p>
    <w:p w14:paraId="4CC554C6" w14:textId="1152F035" w:rsidR="00A81BB1" w:rsidRDefault="00A81BB1" w:rsidP="003D2484">
      <w:pPr>
        <w:tabs>
          <w:tab w:val="left" w:pos="5006"/>
        </w:tabs>
        <w:jc w:val="center"/>
        <w:rPr>
          <w:rFonts w:ascii="Times New Roman" w:hAnsi="Times New Roman" w:cs="Times New Roman"/>
          <w:sz w:val="20"/>
          <w:szCs w:val="20"/>
        </w:rPr>
      </w:pPr>
      <w:r>
        <w:rPr>
          <w:rFonts w:ascii="Times New Roman" w:hAnsi="Times New Roman" w:cs="Times New Roman"/>
          <w:b/>
          <w:bCs/>
          <w:sz w:val="20"/>
          <w:szCs w:val="20"/>
        </w:rPr>
        <w:t xml:space="preserve">POLICY EXCESS: </w:t>
      </w:r>
      <w:r w:rsidR="003D2484">
        <w:rPr>
          <w:rFonts w:ascii="Times New Roman" w:hAnsi="Times New Roman" w:cs="Times New Roman"/>
          <w:sz w:val="20"/>
          <w:szCs w:val="20"/>
        </w:rPr>
        <w:t>Insurers will not pay the first £50.00 of each claim per customer.</w:t>
      </w:r>
    </w:p>
    <w:p w14:paraId="2529AB87" w14:textId="187A770C" w:rsidR="003D2484" w:rsidRPr="003D2484" w:rsidRDefault="003D2484" w:rsidP="003D2484">
      <w:pPr>
        <w:tabs>
          <w:tab w:val="left" w:pos="5006"/>
        </w:tabs>
        <w:jc w:val="center"/>
        <w:rPr>
          <w:rFonts w:ascii="Times New Roman" w:hAnsi="Times New Roman" w:cs="Times New Roman"/>
          <w:sz w:val="20"/>
          <w:szCs w:val="20"/>
        </w:rPr>
      </w:pPr>
      <w:r>
        <w:rPr>
          <w:rFonts w:ascii="Times New Roman" w:hAnsi="Times New Roman" w:cs="Times New Roman"/>
          <w:b/>
          <w:bCs/>
          <w:sz w:val="20"/>
          <w:szCs w:val="20"/>
        </w:rPr>
        <w:t xml:space="preserve">CLAIMS NOTIFICATION: </w:t>
      </w:r>
      <w:r>
        <w:rPr>
          <w:rFonts w:ascii="Times New Roman" w:hAnsi="Times New Roman" w:cs="Times New Roman"/>
          <w:sz w:val="20"/>
          <w:szCs w:val="20"/>
        </w:rPr>
        <w:t>All claims must be notified to us at the time of discovery of loss or damage to your property, or at the time of removal of your property from the unit, whichever is the soonest.</w:t>
      </w:r>
    </w:p>
    <w:p w14:paraId="43A5A321" w14:textId="7FB50DE0" w:rsidR="003D2484" w:rsidRPr="00A81BB1" w:rsidRDefault="003D2484" w:rsidP="00281CB9">
      <w:pPr>
        <w:tabs>
          <w:tab w:val="left" w:pos="5006"/>
        </w:tabs>
        <w:rPr>
          <w:rFonts w:ascii="Times New Roman" w:hAnsi="Times New Roman" w:cs="Times New Roman"/>
          <w:sz w:val="20"/>
          <w:szCs w:val="20"/>
        </w:rPr>
      </w:pPr>
    </w:p>
    <w:p w14:paraId="174891D3" w14:textId="77777777" w:rsidR="004123DB" w:rsidRDefault="003D2484" w:rsidP="004123DB">
      <w:pPr>
        <w:tabs>
          <w:tab w:val="left" w:pos="6916"/>
          <w:tab w:val="left" w:pos="8858"/>
        </w:tabs>
        <w:rPr>
          <w:rFonts w:ascii="Times New Roman" w:hAnsi="Times New Roman" w:cs="Times New Roman"/>
        </w:rPr>
      </w:pPr>
      <w:r>
        <w:rPr>
          <w:rFonts w:ascii="Times New Roman" w:hAnsi="Times New Roman" w:cs="Times New Roman"/>
        </w:rPr>
        <w:lastRenderedPageBreak/>
        <w:tab/>
      </w:r>
    </w:p>
    <w:p w14:paraId="7E86CB21" w14:textId="77777777" w:rsidR="004123DB" w:rsidRDefault="004123DB" w:rsidP="004123DB">
      <w:pPr>
        <w:tabs>
          <w:tab w:val="left" w:pos="6916"/>
          <w:tab w:val="left" w:pos="8858"/>
        </w:tabs>
        <w:rPr>
          <w:rFonts w:ascii="Times New Roman" w:hAnsi="Times New Roman" w:cs="Times New Roman"/>
        </w:rPr>
      </w:pPr>
    </w:p>
    <w:p w14:paraId="6BD78F82" w14:textId="77777777" w:rsidR="004123DB" w:rsidRDefault="004123DB" w:rsidP="004123DB">
      <w:pPr>
        <w:tabs>
          <w:tab w:val="left" w:pos="6916"/>
          <w:tab w:val="left" w:pos="8858"/>
        </w:tabs>
        <w:rPr>
          <w:rFonts w:ascii="Times New Roman" w:hAnsi="Times New Roman" w:cs="Times New Roman"/>
        </w:rPr>
      </w:pPr>
    </w:p>
    <w:p w14:paraId="1FDF5002" w14:textId="677FCE6B" w:rsidR="002D7159" w:rsidRDefault="004123DB" w:rsidP="004123DB">
      <w:pPr>
        <w:tabs>
          <w:tab w:val="left" w:pos="6916"/>
          <w:tab w:val="left" w:pos="8858"/>
        </w:tabs>
        <w:jc w:val="center"/>
        <w:rPr>
          <w:rFonts w:ascii="Times New Roman" w:hAnsi="Times New Roman" w:cs="Times New Roman"/>
          <w:b/>
          <w:bCs/>
          <w:sz w:val="28"/>
          <w:szCs w:val="28"/>
        </w:rPr>
      </w:pPr>
      <w:r>
        <w:rPr>
          <w:rFonts w:ascii="Times New Roman" w:hAnsi="Times New Roman" w:cs="Times New Roman"/>
          <w:b/>
          <w:bCs/>
          <w:sz w:val="28"/>
          <w:szCs w:val="28"/>
        </w:rPr>
        <w:t>EXCLUSIONS</w:t>
      </w:r>
    </w:p>
    <w:p w14:paraId="2D1ED290" w14:textId="7ED9C189" w:rsidR="004123DB" w:rsidRDefault="004123DB" w:rsidP="004123DB">
      <w:pPr>
        <w:tabs>
          <w:tab w:val="left" w:pos="6916"/>
          <w:tab w:val="left" w:pos="8858"/>
        </w:tabs>
        <w:jc w:val="center"/>
        <w:rPr>
          <w:rFonts w:ascii="Times New Roman" w:hAnsi="Times New Roman" w:cs="Times New Roman"/>
          <w:sz w:val="20"/>
          <w:szCs w:val="20"/>
        </w:rPr>
      </w:pPr>
      <w:r>
        <w:rPr>
          <w:rFonts w:ascii="Times New Roman" w:hAnsi="Times New Roman" w:cs="Times New Roman"/>
          <w:sz w:val="20"/>
          <w:szCs w:val="20"/>
        </w:rPr>
        <w:t>No cover is provided for the following:</w:t>
      </w:r>
    </w:p>
    <w:p w14:paraId="02E29744" w14:textId="77777777" w:rsidR="004123DB" w:rsidRDefault="004123DB" w:rsidP="004123DB">
      <w:pPr>
        <w:tabs>
          <w:tab w:val="left" w:pos="6916"/>
          <w:tab w:val="left" w:pos="8858"/>
        </w:tabs>
        <w:jc w:val="cente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2854"/>
        <w:gridCol w:w="2534"/>
        <w:gridCol w:w="2534"/>
        <w:gridCol w:w="2534"/>
      </w:tblGrid>
      <w:tr w:rsidR="004123DB" w14:paraId="11A5054B" w14:textId="77777777" w:rsidTr="004123DB">
        <w:trPr>
          <w:jc w:val="center"/>
        </w:trPr>
        <w:tc>
          <w:tcPr>
            <w:tcW w:w="2854" w:type="dxa"/>
          </w:tcPr>
          <w:p w14:paraId="730E63DA" w14:textId="51EAB414"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Money</w:t>
            </w:r>
          </w:p>
        </w:tc>
        <w:tc>
          <w:tcPr>
            <w:tcW w:w="2534" w:type="dxa"/>
          </w:tcPr>
          <w:p w14:paraId="6A8EA39A" w14:textId="6D5A36AA"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Explosives</w:t>
            </w:r>
          </w:p>
        </w:tc>
        <w:tc>
          <w:tcPr>
            <w:tcW w:w="2534" w:type="dxa"/>
          </w:tcPr>
          <w:p w14:paraId="3AA0CAB2" w14:textId="13AC4879"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Perfumery**</w:t>
            </w:r>
          </w:p>
        </w:tc>
        <w:tc>
          <w:tcPr>
            <w:tcW w:w="2534" w:type="dxa"/>
          </w:tcPr>
          <w:p w14:paraId="0A198F8F" w14:textId="707CAB90"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Radios**</w:t>
            </w:r>
          </w:p>
        </w:tc>
      </w:tr>
      <w:tr w:rsidR="004123DB" w14:paraId="7DFB80C5" w14:textId="77777777" w:rsidTr="004123DB">
        <w:trPr>
          <w:jc w:val="center"/>
        </w:trPr>
        <w:tc>
          <w:tcPr>
            <w:tcW w:w="2854" w:type="dxa"/>
          </w:tcPr>
          <w:p w14:paraId="02C8C566" w14:textId="1F210F3D"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Coins</w:t>
            </w:r>
          </w:p>
        </w:tc>
        <w:tc>
          <w:tcPr>
            <w:tcW w:w="2534" w:type="dxa"/>
          </w:tcPr>
          <w:p w14:paraId="652A9D1E" w14:textId="2FBA968B"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Flammables</w:t>
            </w:r>
          </w:p>
        </w:tc>
        <w:tc>
          <w:tcPr>
            <w:tcW w:w="2534" w:type="dxa"/>
          </w:tcPr>
          <w:p w14:paraId="4648367F" w14:textId="0A6B640D"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Mobile Phones**</w:t>
            </w:r>
          </w:p>
        </w:tc>
        <w:tc>
          <w:tcPr>
            <w:tcW w:w="2534" w:type="dxa"/>
          </w:tcPr>
          <w:p w14:paraId="6B49818A" w14:textId="6C4B436B"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Televisions**</w:t>
            </w:r>
          </w:p>
        </w:tc>
      </w:tr>
      <w:tr w:rsidR="004123DB" w14:paraId="0C863DE3" w14:textId="77777777" w:rsidTr="004123DB">
        <w:trPr>
          <w:jc w:val="center"/>
        </w:trPr>
        <w:tc>
          <w:tcPr>
            <w:tcW w:w="2854" w:type="dxa"/>
          </w:tcPr>
          <w:p w14:paraId="3487FD3A" w14:textId="038B2EC8"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Bullion</w:t>
            </w:r>
          </w:p>
        </w:tc>
        <w:tc>
          <w:tcPr>
            <w:tcW w:w="2534" w:type="dxa"/>
          </w:tcPr>
          <w:p w14:paraId="0B90D993" w14:textId="52CAF3D2"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Jewellery*</w:t>
            </w:r>
          </w:p>
        </w:tc>
        <w:tc>
          <w:tcPr>
            <w:tcW w:w="2534" w:type="dxa"/>
          </w:tcPr>
          <w:p w14:paraId="7AC8BF76" w14:textId="66E1DCD7"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Tobacco**</w:t>
            </w:r>
          </w:p>
        </w:tc>
        <w:tc>
          <w:tcPr>
            <w:tcW w:w="2534" w:type="dxa"/>
          </w:tcPr>
          <w:p w14:paraId="600A770E" w14:textId="58C37DB8"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Computers**</w:t>
            </w:r>
          </w:p>
        </w:tc>
      </w:tr>
      <w:tr w:rsidR="004123DB" w14:paraId="1D83046C" w14:textId="77777777" w:rsidTr="004123DB">
        <w:trPr>
          <w:jc w:val="center"/>
        </w:trPr>
        <w:tc>
          <w:tcPr>
            <w:tcW w:w="2854" w:type="dxa"/>
          </w:tcPr>
          <w:p w14:paraId="1500F33A" w14:textId="475F8D12"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Deeds</w:t>
            </w:r>
          </w:p>
        </w:tc>
        <w:tc>
          <w:tcPr>
            <w:tcW w:w="2534" w:type="dxa"/>
          </w:tcPr>
          <w:p w14:paraId="0D769876" w14:textId="4EF891B6"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Watches*</w:t>
            </w:r>
          </w:p>
        </w:tc>
        <w:tc>
          <w:tcPr>
            <w:tcW w:w="2534" w:type="dxa"/>
          </w:tcPr>
          <w:p w14:paraId="20CD2E7E" w14:textId="30909F29"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Cigars**</w:t>
            </w:r>
          </w:p>
        </w:tc>
        <w:tc>
          <w:tcPr>
            <w:tcW w:w="2534" w:type="dxa"/>
          </w:tcPr>
          <w:p w14:paraId="607FAFAA" w14:textId="3087309E"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Computer Software**</w:t>
            </w:r>
          </w:p>
        </w:tc>
      </w:tr>
      <w:tr w:rsidR="004123DB" w14:paraId="0AA2F54B" w14:textId="77777777" w:rsidTr="004123DB">
        <w:trPr>
          <w:jc w:val="center"/>
        </w:trPr>
        <w:tc>
          <w:tcPr>
            <w:tcW w:w="2854" w:type="dxa"/>
          </w:tcPr>
          <w:p w14:paraId="464D59C8" w14:textId="26BD45C9"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Bonds</w:t>
            </w:r>
          </w:p>
        </w:tc>
        <w:tc>
          <w:tcPr>
            <w:tcW w:w="2534" w:type="dxa"/>
          </w:tcPr>
          <w:p w14:paraId="00BCEB5E" w14:textId="1459FD2C"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Precious Stones*</w:t>
            </w:r>
          </w:p>
        </w:tc>
        <w:tc>
          <w:tcPr>
            <w:tcW w:w="2534" w:type="dxa"/>
          </w:tcPr>
          <w:p w14:paraId="36604089" w14:textId="1DC04584"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Cigarettes**</w:t>
            </w:r>
          </w:p>
        </w:tc>
        <w:tc>
          <w:tcPr>
            <w:tcW w:w="2534" w:type="dxa"/>
          </w:tcPr>
          <w:p w14:paraId="207A307D" w14:textId="02EF0E8D"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Hard Drives**</w:t>
            </w:r>
          </w:p>
        </w:tc>
      </w:tr>
      <w:tr w:rsidR="004123DB" w14:paraId="7CB79AA8" w14:textId="77777777" w:rsidTr="004123DB">
        <w:trPr>
          <w:jc w:val="center"/>
        </w:trPr>
        <w:tc>
          <w:tcPr>
            <w:tcW w:w="2854" w:type="dxa"/>
          </w:tcPr>
          <w:p w14:paraId="28A8F578" w14:textId="1766C5D0"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Securities</w:t>
            </w:r>
          </w:p>
        </w:tc>
        <w:tc>
          <w:tcPr>
            <w:tcW w:w="2534" w:type="dxa"/>
          </w:tcPr>
          <w:p w14:paraId="51300C4C" w14:textId="7FD814D0"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Stamps (of all kinds) *</w:t>
            </w:r>
          </w:p>
        </w:tc>
        <w:tc>
          <w:tcPr>
            <w:tcW w:w="2534" w:type="dxa"/>
          </w:tcPr>
          <w:p w14:paraId="68A84FEF" w14:textId="62761A3D"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Beers**</w:t>
            </w:r>
          </w:p>
        </w:tc>
        <w:tc>
          <w:tcPr>
            <w:tcW w:w="2534" w:type="dxa"/>
          </w:tcPr>
          <w:p w14:paraId="74DDD169" w14:textId="6EACE9DA"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Chips**</w:t>
            </w:r>
          </w:p>
        </w:tc>
      </w:tr>
      <w:tr w:rsidR="004123DB" w14:paraId="6A47F45B" w14:textId="77777777" w:rsidTr="004123DB">
        <w:trPr>
          <w:jc w:val="center"/>
        </w:trPr>
        <w:tc>
          <w:tcPr>
            <w:tcW w:w="2854" w:type="dxa"/>
          </w:tcPr>
          <w:p w14:paraId="2AB5266E" w14:textId="610A7449"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Livestock</w:t>
            </w:r>
          </w:p>
        </w:tc>
        <w:tc>
          <w:tcPr>
            <w:tcW w:w="2534" w:type="dxa"/>
          </w:tcPr>
          <w:p w14:paraId="37E2FEB3" w14:textId="1708B943"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Furs**</w:t>
            </w:r>
          </w:p>
        </w:tc>
        <w:tc>
          <w:tcPr>
            <w:tcW w:w="2534" w:type="dxa"/>
          </w:tcPr>
          <w:p w14:paraId="14DF508E" w14:textId="7228EEED"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Wines**</w:t>
            </w:r>
          </w:p>
        </w:tc>
        <w:tc>
          <w:tcPr>
            <w:tcW w:w="2534" w:type="dxa"/>
          </w:tcPr>
          <w:p w14:paraId="02900622" w14:textId="1F434F13"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Microchips**</w:t>
            </w:r>
          </w:p>
        </w:tc>
      </w:tr>
      <w:tr w:rsidR="004123DB" w14:paraId="112E563D" w14:textId="77777777" w:rsidTr="004123DB">
        <w:trPr>
          <w:jc w:val="center"/>
        </w:trPr>
        <w:tc>
          <w:tcPr>
            <w:tcW w:w="2854" w:type="dxa"/>
          </w:tcPr>
          <w:p w14:paraId="65763521" w14:textId="3D733045"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Plants</w:t>
            </w:r>
          </w:p>
        </w:tc>
        <w:tc>
          <w:tcPr>
            <w:tcW w:w="2534" w:type="dxa"/>
          </w:tcPr>
          <w:p w14:paraId="542428BA" w14:textId="2FB61D1A" w:rsidR="004123DB" w:rsidRDefault="004123DB"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Fine art</w:t>
            </w:r>
            <w:r w:rsidR="00CE1671">
              <w:rPr>
                <w:rFonts w:ascii="Times New Roman" w:hAnsi="Times New Roman" w:cs="Times New Roman"/>
                <w:sz w:val="20"/>
                <w:szCs w:val="20"/>
              </w:rPr>
              <w:t>**</w:t>
            </w:r>
          </w:p>
        </w:tc>
        <w:tc>
          <w:tcPr>
            <w:tcW w:w="2534" w:type="dxa"/>
          </w:tcPr>
          <w:p w14:paraId="71B64600" w14:textId="40874F15"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Spirits**</w:t>
            </w:r>
          </w:p>
        </w:tc>
        <w:tc>
          <w:tcPr>
            <w:tcW w:w="2534" w:type="dxa"/>
          </w:tcPr>
          <w:p w14:paraId="02E11D51" w14:textId="661F8D1E" w:rsidR="004123DB"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Printed Circuit Boards**</w:t>
            </w:r>
          </w:p>
        </w:tc>
      </w:tr>
      <w:tr w:rsidR="00CE1671" w14:paraId="604852F3" w14:textId="77777777" w:rsidTr="004123DB">
        <w:trPr>
          <w:jc w:val="center"/>
        </w:trPr>
        <w:tc>
          <w:tcPr>
            <w:tcW w:w="2854" w:type="dxa"/>
          </w:tcPr>
          <w:p w14:paraId="7D369AB0" w14:textId="5643273A"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Modems**</w:t>
            </w:r>
          </w:p>
        </w:tc>
        <w:tc>
          <w:tcPr>
            <w:tcW w:w="2534" w:type="dxa"/>
          </w:tcPr>
          <w:p w14:paraId="32D943AE" w14:textId="7610C671"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Monitors**</w:t>
            </w:r>
          </w:p>
        </w:tc>
        <w:tc>
          <w:tcPr>
            <w:tcW w:w="2534" w:type="dxa"/>
          </w:tcPr>
          <w:p w14:paraId="540639DC" w14:textId="1A14D111"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Cameras**</w:t>
            </w:r>
          </w:p>
        </w:tc>
        <w:tc>
          <w:tcPr>
            <w:tcW w:w="2534" w:type="dxa"/>
          </w:tcPr>
          <w:p w14:paraId="0DE689FC" w14:textId="367C09F0"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Fax Machines**</w:t>
            </w:r>
          </w:p>
        </w:tc>
      </w:tr>
      <w:tr w:rsidR="00CE1671" w14:paraId="715022E4" w14:textId="77777777" w:rsidTr="004123DB">
        <w:trPr>
          <w:jc w:val="center"/>
        </w:trPr>
        <w:tc>
          <w:tcPr>
            <w:tcW w:w="2854" w:type="dxa"/>
          </w:tcPr>
          <w:p w14:paraId="68A5A7AB" w14:textId="6EF8E797"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Photocopiers**</w:t>
            </w:r>
          </w:p>
        </w:tc>
        <w:tc>
          <w:tcPr>
            <w:tcW w:w="2534" w:type="dxa"/>
          </w:tcPr>
          <w:p w14:paraId="361E47E1" w14:textId="0BD3866F"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VCRs**</w:t>
            </w:r>
          </w:p>
        </w:tc>
        <w:tc>
          <w:tcPr>
            <w:tcW w:w="2534" w:type="dxa"/>
          </w:tcPr>
          <w:p w14:paraId="42B846C6" w14:textId="164ED15F"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Hi-Fi**</w:t>
            </w:r>
          </w:p>
        </w:tc>
        <w:tc>
          <w:tcPr>
            <w:tcW w:w="2534" w:type="dxa"/>
          </w:tcPr>
          <w:p w14:paraId="327FF113" w14:textId="55A23C87"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Stereos**</w:t>
            </w:r>
          </w:p>
        </w:tc>
      </w:tr>
      <w:tr w:rsidR="00CE1671" w14:paraId="5F516E56" w14:textId="77777777" w:rsidTr="004123DB">
        <w:trPr>
          <w:jc w:val="center"/>
        </w:trPr>
        <w:tc>
          <w:tcPr>
            <w:tcW w:w="2854" w:type="dxa"/>
          </w:tcPr>
          <w:p w14:paraId="661C3120" w14:textId="38BE5C8F"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CD Players**</w:t>
            </w:r>
          </w:p>
        </w:tc>
        <w:tc>
          <w:tcPr>
            <w:tcW w:w="2534" w:type="dxa"/>
          </w:tcPr>
          <w:p w14:paraId="62957DB4" w14:textId="285907E1" w:rsidR="00CE1671" w:rsidRDefault="00CE1671" w:rsidP="004123DB">
            <w:pPr>
              <w:pStyle w:val="ListParagraph"/>
              <w:tabs>
                <w:tab w:val="left" w:pos="6916"/>
                <w:tab w:val="left" w:pos="8858"/>
              </w:tabs>
              <w:ind w:left="0"/>
              <w:rPr>
                <w:rFonts w:ascii="Times New Roman" w:hAnsi="Times New Roman" w:cs="Times New Roman"/>
                <w:sz w:val="20"/>
                <w:szCs w:val="20"/>
              </w:rPr>
            </w:pPr>
            <w:r>
              <w:rPr>
                <w:rFonts w:ascii="Times New Roman" w:hAnsi="Times New Roman" w:cs="Times New Roman"/>
                <w:sz w:val="20"/>
                <w:szCs w:val="20"/>
              </w:rPr>
              <w:t>Digital Recorders/Players**</w:t>
            </w:r>
          </w:p>
        </w:tc>
        <w:tc>
          <w:tcPr>
            <w:tcW w:w="2534" w:type="dxa"/>
          </w:tcPr>
          <w:p w14:paraId="1C043D82" w14:textId="77777777" w:rsidR="00CE1671" w:rsidRDefault="00CE1671" w:rsidP="004123DB">
            <w:pPr>
              <w:pStyle w:val="ListParagraph"/>
              <w:tabs>
                <w:tab w:val="left" w:pos="6916"/>
                <w:tab w:val="left" w:pos="8858"/>
              </w:tabs>
              <w:ind w:left="0"/>
              <w:rPr>
                <w:rFonts w:ascii="Times New Roman" w:hAnsi="Times New Roman" w:cs="Times New Roman"/>
                <w:sz w:val="20"/>
                <w:szCs w:val="20"/>
              </w:rPr>
            </w:pPr>
          </w:p>
        </w:tc>
        <w:tc>
          <w:tcPr>
            <w:tcW w:w="2534" w:type="dxa"/>
          </w:tcPr>
          <w:p w14:paraId="69B852E8" w14:textId="77777777" w:rsidR="00CE1671" w:rsidRDefault="00CE1671" w:rsidP="004123DB">
            <w:pPr>
              <w:pStyle w:val="ListParagraph"/>
              <w:tabs>
                <w:tab w:val="left" w:pos="6916"/>
                <w:tab w:val="left" w:pos="8858"/>
              </w:tabs>
              <w:ind w:left="0"/>
              <w:rPr>
                <w:rFonts w:ascii="Times New Roman" w:hAnsi="Times New Roman" w:cs="Times New Roman"/>
                <w:sz w:val="20"/>
                <w:szCs w:val="20"/>
              </w:rPr>
            </w:pPr>
          </w:p>
        </w:tc>
      </w:tr>
    </w:tbl>
    <w:p w14:paraId="192F9343" w14:textId="1FA37D2E" w:rsidR="004123DB" w:rsidRDefault="004123DB" w:rsidP="004123DB">
      <w:pPr>
        <w:pStyle w:val="ListParagraph"/>
        <w:tabs>
          <w:tab w:val="left" w:pos="6916"/>
          <w:tab w:val="left" w:pos="8858"/>
        </w:tabs>
        <w:rPr>
          <w:rFonts w:ascii="Times New Roman" w:hAnsi="Times New Roman" w:cs="Times New Roman"/>
          <w:sz w:val="20"/>
          <w:szCs w:val="20"/>
        </w:rPr>
      </w:pPr>
    </w:p>
    <w:p w14:paraId="5E060CE0" w14:textId="491519B1" w:rsidR="004123DB" w:rsidRDefault="004123DB" w:rsidP="004123DB">
      <w:pPr>
        <w:tabs>
          <w:tab w:val="left" w:pos="6916"/>
          <w:tab w:val="left" w:pos="8858"/>
        </w:tabs>
        <w:ind w:left="1080"/>
        <w:rPr>
          <w:rFonts w:ascii="Times New Roman" w:hAnsi="Times New Roman" w:cs="Times New Roman"/>
          <w:sz w:val="20"/>
          <w:szCs w:val="20"/>
        </w:rPr>
      </w:pPr>
      <w:r w:rsidRPr="004123DB">
        <w:rPr>
          <w:rFonts w:ascii="Times New Roman" w:hAnsi="Times New Roman" w:cs="Times New Roman"/>
          <w:sz w:val="20"/>
          <w:szCs w:val="20"/>
        </w:rPr>
        <w:t>*</w:t>
      </w:r>
      <w:r>
        <w:rPr>
          <w:rFonts w:ascii="Times New Roman" w:hAnsi="Times New Roman" w:cs="Times New Roman"/>
          <w:sz w:val="20"/>
          <w:szCs w:val="20"/>
        </w:rPr>
        <w:t xml:space="preserve"> </w:t>
      </w:r>
      <w:r w:rsidRPr="004123DB">
        <w:rPr>
          <w:rFonts w:ascii="Times New Roman" w:hAnsi="Times New Roman" w:cs="Times New Roman"/>
          <w:sz w:val="20"/>
          <w:szCs w:val="20"/>
        </w:rPr>
        <w:t>Exceeding £500.00 combined total</w:t>
      </w:r>
      <w:r w:rsidR="00CE1671">
        <w:rPr>
          <w:rFonts w:ascii="Times New Roman" w:hAnsi="Times New Roman" w:cs="Times New Roman"/>
          <w:sz w:val="20"/>
          <w:szCs w:val="20"/>
        </w:rPr>
        <w:t>.</w:t>
      </w:r>
    </w:p>
    <w:p w14:paraId="4E82CED7" w14:textId="7A9013CF" w:rsidR="00CE1671" w:rsidRDefault="00CE1671" w:rsidP="004123DB">
      <w:pPr>
        <w:tabs>
          <w:tab w:val="left" w:pos="6916"/>
          <w:tab w:val="left" w:pos="8858"/>
        </w:tabs>
        <w:ind w:left="1080"/>
        <w:rPr>
          <w:rFonts w:ascii="Times New Roman" w:hAnsi="Times New Roman" w:cs="Times New Roman"/>
          <w:sz w:val="20"/>
          <w:szCs w:val="20"/>
        </w:rPr>
      </w:pPr>
      <w:r>
        <w:rPr>
          <w:rFonts w:ascii="Times New Roman" w:hAnsi="Times New Roman" w:cs="Times New Roman"/>
          <w:sz w:val="20"/>
          <w:szCs w:val="20"/>
        </w:rPr>
        <w:t>** Exceeding £10,000 combined total.</w:t>
      </w:r>
    </w:p>
    <w:p w14:paraId="0454DA93" w14:textId="4651DBF2" w:rsidR="00CE1671" w:rsidRDefault="00CE1671" w:rsidP="004123DB">
      <w:pPr>
        <w:tabs>
          <w:tab w:val="left" w:pos="6916"/>
          <w:tab w:val="left" w:pos="8858"/>
        </w:tabs>
        <w:ind w:left="1080"/>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228"/>
        <w:gridCol w:w="5228"/>
      </w:tblGrid>
      <w:tr w:rsidR="00CE1671" w14:paraId="68E9D1AE" w14:textId="77777777" w:rsidTr="00CE1671">
        <w:trPr>
          <w:jc w:val="center"/>
        </w:trPr>
        <w:tc>
          <w:tcPr>
            <w:tcW w:w="5228" w:type="dxa"/>
          </w:tcPr>
          <w:p w14:paraId="7C126C14" w14:textId="122D94F2" w:rsidR="00CE1671" w:rsidRDefault="00CE1671"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Depreciation arising from repairs of a damaged item.</w:t>
            </w:r>
          </w:p>
        </w:tc>
        <w:tc>
          <w:tcPr>
            <w:tcW w:w="5228" w:type="dxa"/>
          </w:tcPr>
          <w:p w14:paraId="69C941AF" w14:textId="375DC5D6" w:rsidR="00CE1671" w:rsidRDefault="00CE1671"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Loss of data records other than the cost of blank data carrying materials.</w:t>
            </w:r>
          </w:p>
        </w:tc>
      </w:tr>
      <w:tr w:rsidR="00CE1671" w14:paraId="0C4997C7" w14:textId="77777777" w:rsidTr="00CE1671">
        <w:trPr>
          <w:jc w:val="center"/>
        </w:trPr>
        <w:tc>
          <w:tcPr>
            <w:tcW w:w="5228" w:type="dxa"/>
          </w:tcPr>
          <w:p w14:paraId="6D1DEAC2" w14:textId="0F935AD5" w:rsidR="00CE1671" w:rsidRDefault="00CE1671"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Any goods which you are not permitted to store under the terms of the License Agreement.</w:t>
            </w:r>
          </w:p>
        </w:tc>
        <w:tc>
          <w:tcPr>
            <w:tcW w:w="5228" w:type="dxa"/>
          </w:tcPr>
          <w:p w14:paraId="2FC3F98E" w14:textId="10BA733E" w:rsidR="00CE1671" w:rsidRDefault="00CE1671"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Any consequence of War, Invasion, Act of Foreign Enemy Hostiles, Civil War, Rebellion, Insurrection or Military or Usurped Power or confiscation or nationalism or requisition or destruction of or damage to property by or under the order of any government, public or local authority..</w:t>
            </w:r>
          </w:p>
        </w:tc>
      </w:tr>
      <w:tr w:rsidR="00CE1671" w14:paraId="6456F774" w14:textId="77777777" w:rsidTr="00CE1671">
        <w:trPr>
          <w:jc w:val="center"/>
        </w:trPr>
        <w:tc>
          <w:tcPr>
            <w:tcW w:w="5228" w:type="dxa"/>
          </w:tcPr>
          <w:p w14:paraId="7E5062F0" w14:textId="7A331825" w:rsidR="00CE1671" w:rsidRDefault="00CE1671"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Ensuing or indirect losses resulting from or as a consequence of claims made for loss or damage arising from an Insured Peril.</w:t>
            </w:r>
          </w:p>
        </w:tc>
        <w:tc>
          <w:tcPr>
            <w:tcW w:w="5228" w:type="dxa"/>
          </w:tcPr>
          <w:p w14:paraId="6CF0937C" w14:textId="06CBA933" w:rsidR="00CE1671" w:rsidRDefault="00CE1671"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 xml:space="preserve">Loss or damage from ionising radiation from </w:t>
            </w:r>
            <w:r w:rsidR="004F55A4">
              <w:rPr>
                <w:rFonts w:ascii="Times New Roman" w:hAnsi="Times New Roman" w:cs="Times New Roman"/>
                <w:sz w:val="20"/>
                <w:szCs w:val="20"/>
              </w:rPr>
              <w:t>or contamination by radioactivity from any nuclear fuel or from any nuclear waste or from the combustion of nuclear fuel.</w:t>
            </w:r>
          </w:p>
        </w:tc>
      </w:tr>
      <w:tr w:rsidR="00CE1671" w14:paraId="44E485EA" w14:textId="77777777" w:rsidTr="00CE1671">
        <w:trPr>
          <w:jc w:val="center"/>
        </w:trPr>
        <w:tc>
          <w:tcPr>
            <w:tcW w:w="5228" w:type="dxa"/>
          </w:tcPr>
          <w:p w14:paraId="775FFD45" w14:textId="7A58E90C" w:rsidR="00CE1671" w:rsidRDefault="004F55A4"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Loss or damage from the radioactive, toxic, explosive or other hazardous or contaminating properties of any nuclear installation, reactor or nuclear component thereof.</w:t>
            </w:r>
          </w:p>
        </w:tc>
        <w:tc>
          <w:tcPr>
            <w:tcW w:w="5228" w:type="dxa"/>
          </w:tcPr>
          <w:p w14:paraId="388441FE" w14:textId="2A109528" w:rsidR="00CE1671" w:rsidRDefault="004F55A4"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Loss or damage from any weapon of war employing atomic or nuclear fission and/or fusion or other like reaction or radioactive force of matter.</w:t>
            </w:r>
          </w:p>
        </w:tc>
      </w:tr>
      <w:tr w:rsidR="00CE1671" w14:paraId="3C5483EC" w14:textId="77777777" w:rsidTr="00CE1671">
        <w:trPr>
          <w:jc w:val="center"/>
        </w:trPr>
        <w:tc>
          <w:tcPr>
            <w:tcW w:w="5228" w:type="dxa"/>
          </w:tcPr>
          <w:p w14:paraId="0DF23748" w14:textId="6C8CCD82" w:rsidR="00CE1671" w:rsidRDefault="004F55A4"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Loss or damage from the radioactive, toxic, explosive or other hazardous or contaminating properties of any radioactive matter. The exclusion of this sub-clause does not extend to radioactive isotopes, other than nuclear fuel, when such isotopes are being prepared, carried, stored or used for commercial, agricultural, medical, scientific, or other similar peaceful purposes.</w:t>
            </w:r>
          </w:p>
        </w:tc>
        <w:tc>
          <w:tcPr>
            <w:tcW w:w="5228" w:type="dxa"/>
          </w:tcPr>
          <w:p w14:paraId="203F6D65" w14:textId="71A294FC" w:rsidR="00CE1671" w:rsidRDefault="004F55A4"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Loss or damage from any chemical, biological, biochemical, or electromagnetic weapon. The use or operation as a means of inflicting harm of any computer system, computer software program, computer virus or process or any other electronic system.</w:t>
            </w:r>
          </w:p>
        </w:tc>
      </w:tr>
      <w:tr w:rsidR="00CE1671" w14:paraId="30B0C79C" w14:textId="77777777" w:rsidTr="00CE1671">
        <w:trPr>
          <w:jc w:val="center"/>
        </w:trPr>
        <w:tc>
          <w:tcPr>
            <w:tcW w:w="5228" w:type="dxa"/>
          </w:tcPr>
          <w:p w14:paraId="1155D279" w14:textId="2E8E9A19" w:rsidR="00CE1671" w:rsidRDefault="004F55A4"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Loss or damage to your property directly caused by pressure waves caused by aircraft and/or other aerial devices travelling at sonic/supersonic speeds.</w:t>
            </w:r>
          </w:p>
        </w:tc>
        <w:tc>
          <w:tcPr>
            <w:tcW w:w="5228" w:type="dxa"/>
          </w:tcPr>
          <w:p w14:paraId="2478285A" w14:textId="6B4AA1FF" w:rsidR="00CE1671" w:rsidRDefault="004F55A4" w:rsidP="004123DB">
            <w:pPr>
              <w:tabs>
                <w:tab w:val="left" w:pos="6916"/>
                <w:tab w:val="left" w:pos="8858"/>
              </w:tabs>
              <w:rPr>
                <w:rFonts w:ascii="Times New Roman" w:hAnsi="Times New Roman" w:cs="Times New Roman"/>
                <w:sz w:val="20"/>
                <w:szCs w:val="20"/>
              </w:rPr>
            </w:pPr>
            <w:r>
              <w:rPr>
                <w:rFonts w:ascii="Times New Roman" w:hAnsi="Times New Roman" w:cs="Times New Roman"/>
                <w:sz w:val="20"/>
                <w:szCs w:val="20"/>
              </w:rPr>
              <w:t>Loss or damage to your property caused by or resulting from any act(s) of terrorism or any person(s) acting from a political motive.</w:t>
            </w:r>
          </w:p>
        </w:tc>
      </w:tr>
    </w:tbl>
    <w:p w14:paraId="12309A16" w14:textId="77777777" w:rsidR="004F55A4" w:rsidRDefault="004F55A4" w:rsidP="004123DB">
      <w:pPr>
        <w:tabs>
          <w:tab w:val="left" w:pos="6916"/>
          <w:tab w:val="left" w:pos="8858"/>
        </w:tabs>
        <w:ind w:left="1080"/>
        <w:rPr>
          <w:rFonts w:ascii="Times New Roman" w:hAnsi="Times New Roman" w:cs="Times New Roman"/>
          <w:sz w:val="20"/>
          <w:szCs w:val="20"/>
        </w:rPr>
      </w:pPr>
    </w:p>
    <w:p w14:paraId="4D6FA2A3" w14:textId="6E53715B" w:rsidR="00CE1671" w:rsidRPr="004123DB" w:rsidRDefault="004F55A4" w:rsidP="004123DB">
      <w:pPr>
        <w:tabs>
          <w:tab w:val="left" w:pos="6916"/>
          <w:tab w:val="left" w:pos="8858"/>
        </w:tabs>
        <w:ind w:left="1080"/>
        <w:rPr>
          <w:rFonts w:ascii="Times New Roman" w:hAnsi="Times New Roman" w:cs="Times New Roman"/>
          <w:sz w:val="20"/>
          <w:szCs w:val="20"/>
        </w:rPr>
      </w:pPr>
      <w:r>
        <w:rPr>
          <w:rFonts w:ascii="Times New Roman" w:hAnsi="Times New Roman" w:cs="Times New Roman"/>
          <w:sz w:val="20"/>
          <w:szCs w:val="20"/>
        </w:rPr>
        <w:t>If at the time of loss there is other insurance in force, this insurance shall only respond to the extent that losses are not recoverable under the other insurance.</w:t>
      </w:r>
    </w:p>
    <w:sectPr w:rsidR="00CE1671" w:rsidRPr="004123DB" w:rsidSect="003D248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EA61" w14:textId="77777777" w:rsidR="003D2484" w:rsidRDefault="003D2484" w:rsidP="003D2484">
      <w:pPr>
        <w:spacing w:after="0" w:line="240" w:lineRule="auto"/>
      </w:pPr>
      <w:r>
        <w:separator/>
      </w:r>
    </w:p>
  </w:endnote>
  <w:endnote w:type="continuationSeparator" w:id="0">
    <w:p w14:paraId="3FEF36CC" w14:textId="77777777" w:rsidR="003D2484" w:rsidRDefault="003D2484" w:rsidP="003D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E3CD" w14:textId="529EE34C" w:rsidR="003D2484" w:rsidRPr="003D2484" w:rsidRDefault="004123DB">
    <w:pPr>
      <w:pStyle w:val="Footer"/>
      <w:rPr>
        <w:rFonts w:ascii="Times New Roman" w:hAnsi="Times New Roman" w:cs="Times New Roman"/>
        <w:color w:val="A5A5A5" w:themeColor="accent3"/>
        <w:sz w:val="18"/>
        <w:szCs w:val="18"/>
        <w:lang w:val="en-US"/>
      </w:rPr>
    </w:pPr>
    <w:r>
      <w:rPr>
        <w:noProof/>
      </w:rPr>
      <w:drawing>
        <wp:anchor distT="0" distB="0" distL="114300" distR="114300" simplePos="0" relativeHeight="251661312" behindDoc="1" locked="0" layoutInCell="1" allowOverlap="1" wp14:anchorId="26FB2A6F" wp14:editId="661DB2CE">
          <wp:simplePos x="0" y="0"/>
          <wp:positionH relativeFrom="column">
            <wp:posOffset>6125210</wp:posOffset>
          </wp:positionH>
          <wp:positionV relativeFrom="paragraph">
            <wp:posOffset>-359410</wp:posOffset>
          </wp:positionV>
          <wp:extent cx="479283" cy="741218"/>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9283" cy="741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9F4DCB7" wp14:editId="23A9591F">
          <wp:simplePos x="0" y="0"/>
          <wp:positionH relativeFrom="column">
            <wp:posOffset>5073650</wp:posOffset>
          </wp:positionH>
          <wp:positionV relativeFrom="paragraph">
            <wp:posOffset>-36541</wp:posOffset>
          </wp:positionV>
          <wp:extent cx="790505" cy="192342"/>
          <wp:effectExtent l="0" t="0" r="0" b="0"/>
          <wp:wrapNone/>
          <wp:docPr id="2" name="Picture 2" descr="Hera Indemnity registered as a Lloyd's Broker - Hera Indemnity-professional  indemnity insurance bro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a Indemnity registered as a Lloyd's Broker - Hera Indemnity-professional  indemnity insurance brokers"/>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594" t="38732" r="15569" b="35706"/>
                  <a:stretch/>
                </pic:blipFill>
                <pic:spPr bwMode="auto">
                  <a:xfrm>
                    <a:off x="0" y="0"/>
                    <a:ext cx="790505" cy="1923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484" w:rsidRPr="003D2484">
      <w:rPr>
        <w:rFonts w:ascii="Times New Roman" w:hAnsi="Times New Roman" w:cs="Times New Roman"/>
        <w:color w:val="A5A5A5" w:themeColor="accent3"/>
        <w:sz w:val="18"/>
        <w:szCs w:val="18"/>
        <w:lang w:val="en-US"/>
      </w:rPr>
      <w:t>Reason Global Insurance Ltd is authorized and regulated by the Financial Conduct Authority No. 304381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9F01" w14:textId="77777777" w:rsidR="003D2484" w:rsidRDefault="003D2484" w:rsidP="003D2484">
      <w:pPr>
        <w:spacing w:after="0" w:line="240" w:lineRule="auto"/>
      </w:pPr>
      <w:r>
        <w:separator/>
      </w:r>
    </w:p>
  </w:footnote>
  <w:footnote w:type="continuationSeparator" w:id="0">
    <w:p w14:paraId="3C0FB0A1" w14:textId="77777777" w:rsidR="003D2484" w:rsidRDefault="003D2484" w:rsidP="003D2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D065" w14:textId="1E31DD18" w:rsidR="004123DB" w:rsidRDefault="004123DB">
    <w:pPr>
      <w:pStyle w:val="Header"/>
    </w:pPr>
    <w:r>
      <w:rPr>
        <w:noProof/>
      </w:rPr>
      <w:drawing>
        <wp:anchor distT="0" distB="0" distL="114300" distR="114300" simplePos="0" relativeHeight="251667456" behindDoc="1" locked="0" layoutInCell="1" allowOverlap="1" wp14:anchorId="79FB9AA9" wp14:editId="624E420A">
          <wp:simplePos x="0" y="0"/>
          <wp:positionH relativeFrom="column">
            <wp:posOffset>6075218</wp:posOffset>
          </wp:positionH>
          <wp:positionV relativeFrom="paragraph">
            <wp:posOffset>-343120</wp:posOffset>
          </wp:positionV>
          <wp:extent cx="853922" cy="1146695"/>
          <wp:effectExtent l="0" t="0" r="3810" b="0"/>
          <wp:wrapNone/>
          <wp:docPr id="10" name="Picture 10" descr="SHO Design | Reason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 Design | Reason Global"/>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2547" t="19460" r="14736" b="56395"/>
                  <a:stretch/>
                </pic:blipFill>
                <pic:spPr bwMode="auto">
                  <a:xfrm>
                    <a:off x="0" y="0"/>
                    <a:ext cx="853922" cy="114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E060476" wp14:editId="25D9B0BE">
          <wp:simplePos x="0" y="0"/>
          <wp:positionH relativeFrom="margin">
            <wp:posOffset>394335</wp:posOffset>
          </wp:positionH>
          <wp:positionV relativeFrom="paragraph">
            <wp:posOffset>-214919</wp:posOffset>
          </wp:positionV>
          <wp:extent cx="5509721" cy="7480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5509721" cy="74801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47F6011B" wp14:editId="6261044A">
              <wp:simplePos x="0" y="0"/>
              <wp:positionH relativeFrom="margin">
                <wp:posOffset>1274445</wp:posOffset>
              </wp:positionH>
              <wp:positionV relativeFrom="paragraph">
                <wp:posOffset>420774</wp:posOffset>
              </wp:positionV>
              <wp:extent cx="4322619" cy="3810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4322619" cy="381000"/>
                      </a:xfrm>
                      <a:prstGeom prst="rect">
                        <a:avLst/>
                      </a:prstGeom>
                      <a:solidFill>
                        <a:srgbClr val="FF0000"/>
                      </a:solidFill>
                      <a:ln w="6350">
                        <a:noFill/>
                      </a:ln>
                    </wps:spPr>
                    <wps:txbx>
                      <w:txbxContent>
                        <w:p w14:paraId="6685BE4B" w14:textId="77777777" w:rsidR="004123DB" w:rsidRPr="003D2484" w:rsidRDefault="004123DB" w:rsidP="004123DB">
                          <w:pPr>
                            <w:jc w:val="center"/>
                            <w:rPr>
                              <w:rFonts w:ascii="Times New Roman" w:hAnsi="Times New Roman" w:cs="Times New Roman"/>
                              <w:b/>
                              <w:bCs/>
                              <w:color w:val="FFFFFF" w:themeColor="background1"/>
                              <w:sz w:val="32"/>
                              <w:szCs w:val="32"/>
                            </w:rPr>
                          </w:pPr>
                          <w:r w:rsidRPr="003D2484">
                            <w:rPr>
                              <w:rFonts w:ascii="Times New Roman" w:hAnsi="Times New Roman" w:cs="Times New Roman"/>
                              <w:b/>
                              <w:bCs/>
                              <w:color w:val="FFFFFF" w:themeColor="background1"/>
                              <w:sz w:val="32"/>
                              <w:szCs w:val="32"/>
                            </w:rPr>
                            <w:t>SUMMARY OF OUR INSURANCE COVER</w:t>
                          </w:r>
                        </w:p>
                        <w:p w14:paraId="33E22481" w14:textId="77777777" w:rsidR="004123DB" w:rsidRPr="003D2484" w:rsidRDefault="004123DB" w:rsidP="004123D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6011B" id="_x0000_t202" coordsize="21600,21600" o:spt="202" path="m,l,21600r21600,l21600,xe">
              <v:stroke joinstyle="miter"/>
              <v:path gradientshapeok="t" o:connecttype="rect"/>
            </v:shapetype>
            <v:shape id="Text Box 3" o:spid="_x0000_s1026" type="#_x0000_t202" style="position:absolute;margin-left:100.35pt;margin-top:33.15pt;width:340.3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" fillcolor="red" stroked="f" strokeweight=".5pt">
              <v:textbox>
                <w:txbxContent>
                  <w:p w14:paraId="6685BE4B" w14:textId="77777777" w:rsidR="004123DB" w:rsidRPr="003D2484" w:rsidRDefault="004123DB" w:rsidP="004123DB">
                    <w:pPr>
                      <w:jc w:val="center"/>
                      <w:rPr>
                        <w:rFonts w:ascii="Times New Roman" w:hAnsi="Times New Roman" w:cs="Times New Roman"/>
                        <w:b/>
                        <w:bCs/>
                        <w:color w:val="FFFFFF" w:themeColor="background1"/>
                        <w:sz w:val="32"/>
                        <w:szCs w:val="32"/>
                      </w:rPr>
                    </w:pPr>
                    <w:r w:rsidRPr="003D2484">
                      <w:rPr>
                        <w:rFonts w:ascii="Times New Roman" w:hAnsi="Times New Roman" w:cs="Times New Roman"/>
                        <w:b/>
                        <w:bCs/>
                        <w:color w:val="FFFFFF" w:themeColor="background1"/>
                        <w:sz w:val="32"/>
                        <w:szCs w:val="32"/>
                      </w:rPr>
                      <w:t>SUMMARY OF OUR INSURANCE COVER</w:t>
                    </w:r>
                  </w:p>
                  <w:p w14:paraId="33E22481" w14:textId="77777777" w:rsidR="004123DB" w:rsidRPr="003D2484" w:rsidRDefault="004123DB" w:rsidP="004123DB">
                    <w:pPr>
                      <w:rPr>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918"/>
    <w:multiLevelType w:val="hybridMultilevel"/>
    <w:tmpl w:val="6AFCC57E"/>
    <w:lvl w:ilvl="0" w:tplc="5970ADF0">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8B3729"/>
    <w:multiLevelType w:val="hybridMultilevel"/>
    <w:tmpl w:val="B22E0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B6009D"/>
    <w:multiLevelType w:val="hybridMultilevel"/>
    <w:tmpl w:val="73C8334C"/>
    <w:lvl w:ilvl="0" w:tplc="660A2240">
      <w:start w:val="1"/>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CE0DE1"/>
    <w:multiLevelType w:val="hybridMultilevel"/>
    <w:tmpl w:val="3684F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B43C4"/>
    <w:multiLevelType w:val="hybridMultilevel"/>
    <w:tmpl w:val="C0AE76F2"/>
    <w:lvl w:ilvl="0" w:tplc="8340D1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59"/>
    <w:rsid w:val="00214C35"/>
    <w:rsid w:val="00281CB9"/>
    <w:rsid w:val="002D7159"/>
    <w:rsid w:val="003D2484"/>
    <w:rsid w:val="004123DB"/>
    <w:rsid w:val="004F55A4"/>
    <w:rsid w:val="00A81BB1"/>
    <w:rsid w:val="00CE1671"/>
    <w:rsid w:val="00ED735B"/>
    <w:rsid w:val="00FB3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02C6"/>
  <w15:chartTrackingRefBased/>
  <w15:docId w15:val="{09E0CD5C-3B52-420F-B206-D62D354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484"/>
  </w:style>
  <w:style w:type="paragraph" w:styleId="Footer">
    <w:name w:val="footer"/>
    <w:basedOn w:val="Normal"/>
    <w:link w:val="FooterChar"/>
    <w:uiPriority w:val="99"/>
    <w:unhideWhenUsed/>
    <w:rsid w:val="003D2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484"/>
  </w:style>
  <w:style w:type="paragraph" w:styleId="ListParagraph">
    <w:name w:val="List Paragraph"/>
    <w:basedOn w:val="Normal"/>
    <w:uiPriority w:val="34"/>
    <w:qFormat/>
    <w:rsid w:val="004123DB"/>
    <w:pPr>
      <w:ind w:left="720"/>
      <w:contextualSpacing/>
    </w:pPr>
  </w:style>
  <w:style w:type="table" w:styleId="TableGrid">
    <w:name w:val="Table Grid"/>
    <w:basedOn w:val="TableNormal"/>
    <w:uiPriority w:val="39"/>
    <w:rsid w:val="0041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2.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2021-05-06T13:30:00Z</cp:lastPrinted>
  <dcterms:created xsi:type="dcterms:W3CDTF">2021-05-06T10:39:00Z</dcterms:created>
  <dcterms:modified xsi:type="dcterms:W3CDTF">2021-05-06T13:33:00Z</dcterms:modified>
</cp:coreProperties>
</file>